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D84D8" w14:textId="63C95476" w:rsidR="005810F1" w:rsidRDefault="005810F1" w:rsidP="005810F1">
      <w:pPr>
        <w:pStyle w:val="Nadpis4"/>
      </w:pPr>
      <w:r>
        <w:t>TECHNICKÉ PODMÍNKY</w:t>
      </w:r>
      <w:r w:rsidR="0089758E">
        <w:t xml:space="preserve"> - zadání</w:t>
      </w:r>
    </w:p>
    <w:p w14:paraId="248A97AD" w14:textId="77777777" w:rsidR="00F71CEE" w:rsidRDefault="00F71CEE" w:rsidP="00F71CEE">
      <w:pPr>
        <w:pStyle w:val="Nadpis5"/>
      </w:pPr>
    </w:p>
    <w:p w14:paraId="15EA96D4" w14:textId="5658B7A8" w:rsidR="00F71CEE" w:rsidRPr="00DA649A" w:rsidRDefault="00F71CEE" w:rsidP="00F71CEE">
      <w:pPr>
        <w:pStyle w:val="Nadpis5"/>
      </w:pPr>
      <w:r w:rsidRPr="007E4CF4">
        <w:t>k veřejné zakázce malého rozsahu s názvem:</w:t>
      </w:r>
    </w:p>
    <w:p w14:paraId="0FA9B330" w14:textId="77777777" w:rsidR="001F6026" w:rsidRDefault="001F6026" w:rsidP="005810F1"/>
    <w:p w14:paraId="23C4657A" w14:textId="586BB8A6" w:rsidR="005810F1" w:rsidRDefault="005810F1" w:rsidP="005810F1">
      <w:pPr>
        <w:pStyle w:val="Nadpis2"/>
      </w:pPr>
      <w:r>
        <w:t>„</w:t>
      </w:r>
      <w:r w:rsidR="0089758E">
        <w:t>Dodávka hydraulického jeřábu pro odvoz dřeva</w:t>
      </w:r>
      <w:r>
        <w:t>“</w:t>
      </w:r>
    </w:p>
    <w:p w14:paraId="4075C78C" w14:textId="77777777" w:rsidR="005810F1" w:rsidRPr="005810F1" w:rsidRDefault="005810F1" w:rsidP="005810F1"/>
    <w:p w14:paraId="2CEBB526" w14:textId="77777777" w:rsidR="005D218A" w:rsidRDefault="005D218A"/>
    <w:p w14:paraId="126BF7D5" w14:textId="689E2915" w:rsidR="0089758E" w:rsidRDefault="0089758E" w:rsidP="00EB762D">
      <w:pPr>
        <w:pStyle w:val="Nadpis7"/>
        <w:ind w:left="426" w:hanging="426"/>
      </w:pPr>
      <w:r>
        <w:t>Identifikační údaje o zadavateli</w:t>
      </w:r>
      <w:r w:rsidR="00EB762D">
        <w:t xml:space="preserve"> a zástupci zadavatele </w:t>
      </w:r>
    </w:p>
    <w:p w14:paraId="24BA576D" w14:textId="53F89569" w:rsidR="00EB762D" w:rsidRPr="00EB762D" w:rsidRDefault="00EB762D" w:rsidP="00EB762D">
      <w:pPr>
        <w:rPr>
          <w:b/>
        </w:rPr>
      </w:pPr>
      <w:r w:rsidRPr="00EB762D">
        <w:rPr>
          <w:b/>
        </w:rPr>
        <w:t>Zadavatel</w:t>
      </w:r>
    </w:p>
    <w:tbl>
      <w:tblPr>
        <w:tblW w:w="9498" w:type="dxa"/>
        <w:tblInd w:w="122" w:type="dxa"/>
        <w:tblLayout w:type="fixed"/>
        <w:tblCellMar>
          <w:top w:w="6" w:type="dxa"/>
          <w:left w:w="10" w:type="dxa"/>
          <w:bottom w:w="6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5807"/>
      </w:tblGrid>
      <w:tr w:rsidR="0089758E" w14:paraId="3D9CB192" w14:textId="77777777" w:rsidTr="002B27CB">
        <w:trPr>
          <w:trHeight w:val="20"/>
        </w:trPr>
        <w:tc>
          <w:tcPr>
            <w:tcW w:w="3691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530F53DC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Název zadavatele:</w:t>
            </w:r>
          </w:p>
        </w:tc>
        <w:tc>
          <w:tcPr>
            <w:tcW w:w="5807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0E110294" w14:textId="63EFDD55" w:rsidR="0089758E" w:rsidRDefault="00EB762D" w:rsidP="00E13407">
            <w:pPr>
              <w:pStyle w:val="Bezmezer"/>
            </w:pPr>
            <w:r w:rsidRPr="00EB762D">
              <w:rPr>
                <w:rStyle w:val="tsubjname"/>
                <w:rFonts w:cs="Arial"/>
                <w:b/>
              </w:rPr>
              <w:t>Česká lesnická akademie Trutnov-střední škola a vyšší odborná škola</w:t>
            </w:r>
          </w:p>
        </w:tc>
      </w:tr>
      <w:tr w:rsidR="0089758E" w14:paraId="1674103D" w14:textId="77777777" w:rsidTr="002B27CB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F5504A8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IČ: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BA079F9" w14:textId="7F49BF05" w:rsidR="0089758E" w:rsidRDefault="00EB762D" w:rsidP="00E13407">
            <w:pPr>
              <w:pStyle w:val="Bezmezer"/>
            </w:pPr>
            <w:r>
              <w:rPr>
                <w:szCs w:val="20"/>
                <w:lang w:eastAsia="cs-CZ"/>
              </w:rPr>
              <w:t>60153296</w:t>
            </w:r>
          </w:p>
        </w:tc>
      </w:tr>
      <w:tr w:rsidR="0089758E" w14:paraId="439E3F54" w14:textId="77777777" w:rsidTr="002B27CB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7D9FB246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Sídlo zadavatele: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72871785" w14:textId="308F7066" w:rsidR="0089758E" w:rsidRDefault="00EB762D" w:rsidP="00E13407">
            <w:pPr>
              <w:pStyle w:val="Standard"/>
              <w:spacing w:after="0" w:line="240" w:lineRule="auto"/>
            </w:pPr>
            <w:r w:rsidRPr="00EB762D">
              <w:t>Lesnická 9, 541 11  Trutnov</w:t>
            </w:r>
          </w:p>
        </w:tc>
      </w:tr>
      <w:tr w:rsidR="0089758E" w14:paraId="540F6183" w14:textId="77777777" w:rsidTr="002B27CB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28F056A7" w14:textId="77777777" w:rsidR="0089758E" w:rsidRDefault="0089758E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Jméno a příjmení osoby oprávněné jednat jménem zadavatele: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2739160B" w14:textId="49DDC7AA" w:rsidR="0089758E" w:rsidRDefault="00EB762D" w:rsidP="00E13407">
            <w:pPr>
              <w:pStyle w:val="Bezmezer"/>
            </w:pPr>
            <w:r>
              <w:t>RNDr. Petr Kejklíček, zástupce ředitele, statutární zástupce</w:t>
            </w:r>
          </w:p>
        </w:tc>
      </w:tr>
    </w:tbl>
    <w:p w14:paraId="15950C62" w14:textId="494E4260" w:rsidR="005810F1" w:rsidRDefault="005810F1"/>
    <w:p w14:paraId="6CCBE422" w14:textId="54E3CD3D" w:rsidR="005D218A" w:rsidRDefault="00EB762D">
      <w:pPr>
        <w:rPr>
          <w:b/>
        </w:rPr>
      </w:pPr>
      <w:r w:rsidRPr="00EB762D">
        <w:rPr>
          <w:b/>
        </w:rPr>
        <w:t>Zástupce zadavatele</w:t>
      </w:r>
    </w:p>
    <w:tbl>
      <w:tblPr>
        <w:tblW w:w="9498" w:type="dxa"/>
        <w:tblInd w:w="1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1"/>
        <w:gridCol w:w="5807"/>
      </w:tblGrid>
      <w:tr w:rsidR="00E13407" w14:paraId="112DA101" w14:textId="77777777" w:rsidTr="00E13407">
        <w:trPr>
          <w:trHeight w:val="20"/>
        </w:trPr>
        <w:tc>
          <w:tcPr>
            <w:tcW w:w="3691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1F75504E" w14:textId="732DC71D" w:rsid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Název:</w:t>
            </w:r>
          </w:p>
        </w:tc>
        <w:tc>
          <w:tcPr>
            <w:tcW w:w="5807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729675AF" w14:textId="25E83A40" w:rsidR="00E13407" w:rsidRPr="00E13407" w:rsidRDefault="00E13407" w:rsidP="00E13407">
            <w:pPr>
              <w:pStyle w:val="Standard"/>
              <w:spacing w:after="0" w:line="240" w:lineRule="auto"/>
              <w:rPr>
                <w:b/>
              </w:rPr>
            </w:pPr>
            <w:r w:rsidRPr="00E13407">
              <w:rPr>
                <w:b/>
              </w:rPr>
              <w:t xml:space="preserve">Centrum evropského projektování a. s. </w:t>
            </w:r>
          </w:p>
        </w:tc>
      </w:tr>
      <w:tr w:rsidR="00E13407" w14:paraId="2BBCFDA1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1E866288" w14:textId="0BF685D1" w:rsidR="00E13407" w:rsidRP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Sídlo: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247EB39B" w14:textId="3652EA03" w:rsidR="00E13407" w:rsidRDefault="00E13407" w:rsidP="00E13407">
            <w:pPr>
              <w:pStyle w:val="Standard"/>
              <w:spacing w:after="0" w:line="240" w:lineRule="auto"/>
            </w:pPr>
            <w:bookmarkStart w:id="0" w:name="_Hlk503263903"/>
            <w:r w:rsidRPr="00E50953">
              <w:t>Hradec Králové, Švendova 1282, PSČ  500 03</w:t>
            </w:r>
            <w:bookmarkEnd w:id="0"/>
          </w:p>
        </w:tc>
      </w:tr>
      <w:tr w:rsidR="00E13407" w14:paraId="02F30375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0C5AC56F" w14:textId="2ABFFE7E" w:rsidR="00E13407" w:rsidRP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 xml:space="preserve">IČ / DIČ: 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1154F2CB" w14:textId="20534A37" w:rsidR="00E13407" w:rsidRDefault="00E13407" w:rsidP="00E13407">
            <w:pPr>
              <w:pStyle w:val="Standard"/>
              <w:spacing w:after="0" w:line="240" w:lineRule="auto"/>
            </w:pPr>
            <w:r w:rsidRPr="00E50953">
              <w:t xml:space="preserve">27529576 </w:t>
            </w:r>
            <w:r>
              <w:t xml:space="preserve">/ </w:t>
            </w:r>
            <w:r w:rsidRPr="00E50953">
              <w:t>CZ 27529576</w:t>
            </w:r>
          </w:p>
        </w:tc>
      </w:tr>
      <w:tr w:rsidR="00E13407" w14:paraId="0C27E91B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FD84B56" w14:textId="49965A2F" w:rsid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OR: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67CF060C" w14:textId="590F75D3" w:rsidR="00E13407" w:rsidRDefault="00E13407" w:rsidP="00E13407">
            <w:pPr>
              <w:pStyle w:val="Standard"/>
              <w:spacing w:after="0" w:line="240" w:lineRule="auto"/>
            </w:pPr>
            <w:r>
              <w:t xml:space="preserve">Zapsána </w:t>
            </w:r>
            <w:r w:rsidRPr="00E50953">
              <w:t>v obchodním rejstříku vedeném Krajským soudem v Hradci Králové, oddíl B, vložka 2674</w:t>
            </w:r>
          </w:p>
        </w:tc>
      </w:tr>
      <w:tr w:rsidR="00E13407" w14:paraId="762296B4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4A1471F7" w14:textId="280E9185" w:rsid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Kontaktní osoba: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0D64FBF5" w14:textId="0A164F2A" w:rsidR="00E13407" w:rsidRDefault="00E13407" w:rsidP="00E13407">
            <w:pPr>
              <w:pStyle w:val="Standard"/>
              <w:spacing w:after="0" w:line="240" w:lineRule="auto"/>
            </w:pPr>
            <w:r>
              <w:t xml:space="preserve">Mgr. Pavel Štěpán, </w:t>
            </w:r>
            <w:r w:rsidRPr="000A20FF">
              <w:t>+420</w:t>
            </w:r>
            <w:r>
              <w:t xml:space="preserve"> 725 540 246, </w:t>
            </w:r>
            <w:hyperlink r:id="rId7" w:history="1">
              <w:r w:rsidRPr="00E13407">
                <w:t>stepan@cep-rra.cz</w:t>
              </w:r>
            </w:hyperlink>
            <w:hyperlink r:id="rId8" w:history="1"/>
          </w:p>
        </w:tc>
      </w:tr>
      <w:tr w:rsidR="00E13407" w14:paraId="2A10AFE9" w14:textId="77777777" w:rsidTr="00E13407">
        <w:trPr>
          <w:trHeight w:val="20"/>
        </w:trPr>
        <w:tc>
          <w:tcPr>
            <w:tcW w:w="3691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BDD6EE"/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6ADCCF6D" w14:textId="4FE11C31" w:rsidR="00E13407" w:rsidRDefault="00E13407" w:rsidP="00E13407">
            <w:pPr>
              <w:pStyle w:val="Standard"/>
              <w:spacing w:after="0" w:line="240" w:lineRule="auto"/>
              <w:jc w:val="left"/>
              <w:rPr>
                <w:rFonts w:cs="Arial"/>
                <w:b/>
              </w:rPr>
            </w:pPr>
            <w:r w:rsidRPr="00E13407">
              <w:rPr>
                <w:rFonts w:cs="Arial"/>
                <w:b/>
              </w:rPr>
              <w:t>Datová schránka:</w:t>
            </w:r>
          </w:p>
        </w:tc>
        <w:tc>
          <w:tcPr>
            <w:tcW w:w="5807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tcMar>
              <w:top w:w="0" w:type="dxa"/>
              <w:left w:w="122" w:type="dxa"/>
              <w:bottom w:w="0" w:type="dxa"/>
              <w:right w:w="108" w:type="dxa"/>
            </w:tcMar>
            <w:vAlign w:val="center"/>
          </w:tcPr>
          <w:p w14:paraId="340E77A4" w14:textId="1FBBDB39" w:rsidR="00E13407" w:rsidRDefault="00E13407" w:rsidP="00E13407">
            <w:pPr>
              <w:pStyle w:val="Standard"/>
              <w:spacing w:after="0" w:line="240" w:lineRule="auto"/>
            </w:pPr>
            <w:r>
              <w:t>c3gdcip</w:t>
            </w:r>
          </w:p>
        </w:tc>
      </w:tr>
    </w:tbl>
    <w:p w14:paraId="42458336" w14:textId="7FC79797" w:rsidR="00E13407" w:rsidRDefault="00E13407">
      <w:pPr>
        <w:rPr>
          <w:b/>
        </w:rPr>
      </w:pPr>
    </w:p>
    <w:p w14:paraId="0E652B70" w14:textId="77777777" w:rsidR="00EB762D" w:rsidRDefault="00EB762D"/>
    <w:p w14:paraId="1208D9D4" w14:textId="6055D79D" w:rsidR="005810F1" w:rsidRDefault="005810F1" w:rsidP="0089758E">
      <w:pPr>
        <w:pStyle w:val="Nadpis7"/>
        <w:ind w:left="426" w:hanging="426"/>
      </w:pPr>
      <w:r>
        <w:t>Technické podmínky</w:t>
      </w:r>
      <w:r w:rsidR="004C2B13">
        <w:t xml:space="preserve"> - zadání</w:t>
      </w:r>
      <w:r>
        <w:t xml:space="preserve"> </w:t>
      </w:r>
    </w:p>
    <w:p w14:paraId="68E002CD" w14:textId="6B7432D2" w:rsidR="0089758E" w:rsidRDefault="0089758E" w:rsidP="00F71CEE">
      <w:pPr>
        <w:pStyle w:val="Standard"/>
        <w:ind w:left="426"/>
      </w:pPr>
      <w:r>
        <w:t>Dodané zařízení bude splňovat následující parametry:</w:t>
      </w:r>
    </w:p>
    <w:tbl>
      <w:tblPr>
        <w:tblW w:w="9634" w:type="dxa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37"/>
        <w:gridCol w:w="2097"/>
      </w:tblGrid>
      <w:tr w:rsidR="0089758E" w14:paraId="72CFC17E" w14:textId="77777777" w:rsidTr="00CA71F0">
        <w:trPr>
          <w:trHeight w:val="439"/>
        </w:trPr>
        <w:tc>
          <w:tcPr>
            <w:tcW w:w="96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386036" w14:textId="6E23D46C" w:rsidR="0089758E" w:rsidRPr="00CA71F0" w:rsidRDefault="0089758E" w:rsidP="00CA71F0">
            <w:pPr>
              <w:pStyle w:val="Bezmezer"/>
              <w:jc w:val="center"/>
              <w:rPr>
                <w:sz w:val="22"/>
              </w:rPr>
            </w:pPr>
            <w:r w:rsidRPr="00CA71F0">
              <w:rPr>
                <w:b/>
                <w:sz w:val="22"/>
              </w:rPr>
              <w:t>Požadované technické parametry, funkční požadavky a výbava</w:t>
            </w:r>
          </w:p>
        </w:tc>
      </w:tr>
      <w:tr w:rsidR="0089758E" w14:paraId="50D2DF91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5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3F02B9" w14:textId="2EF9B157" w:rsidR="0089758E" w:rsidRPr="00CA71F0" w:rsidRDefault="00CA71F0" w:rsidP="00CA71F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CA71F0">
              <w:rPr>
                <w:b/>
              </w:rPr>
              <w:t>Požadavky zadavatele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DD6EE" w:themeFill="accent5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4EBF0E" w14:textId="6F992EDD" w:rsidR="00CA71F0" w:rsidRPr="00CA71F0" w:rsidRDefault="00CA71F0" w:rsidP="00CA71F0">
            <w:pPr>
              <w:pStyle w:val="Standard"/>
              <w:spacing w:after="0" w:line="240" w:lineRule="auto"/>
              <w:jc w:val="center"/>
              <w:rPr>
                <w:b/>
              </w:rPr>
            </w:pPr>
            <w:bookmarkStart w:id="1" w:name="_Hlk7017462"/>
            <w:r w:rsidRPr="00CA71F0">
              <w:rPr>
                <w:b/>
              </w:rPr>
              <w:t>Potvrzení o splnění požadavků dodavatelem</w:t>
            </w:r>
          </w:p>
          <w:p w14:paraId="3758481A" w14:textId="53047C5D" w:rsidR="0089758E" w:rsidRPr="00CA71F0" w:rsidRDefault="00CA71F0" w:rsidP="00CA71F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CA71F0">
              <w:rPr>
                <w:b/>
              </w:rPr>
              <w:t>ANO/NE</w:t>
            </w:r>
            <w:bookmarkEnd w:id="1"/>
          </w:p>
        </w:tc>
      </w:tr>
      <w:tr w:rsidR="0089758E" w14:paraId="68738324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D79A83" w14:textId="6D1022B7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1)</w:t>
            </w:r>
            <w:r w:rsidRPr="00861F03">
              <w:tab/>
              <w:t xml:space="preserve">Minimální zvedací moment 155 </w:t>
            </w:r>
            <w:proofErr w:type="spellStart"/>
            <w:r w:rsidRPr="00861F03">
              <w:t>kNm</w:t>
            </w:r>
            <w:proofErr w:type="spellEnd"/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4F6F74" w14:textId="247DAAC7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3BEA9E77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7AD94A" w14:textId="5DFC4A7B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2)</w:t>
            </w:r>
            <w:r w:rsidRPr="00861F03">
              <w:tab/>
              <w:t xml:space="preserve">Min. otáčecí moment             31 </w:t>
            </w:r>
            <w:proofErr w:type="spellStart"/>
            <w:r w:rsidRPr="00861F03">
              <w:t>kNm</w:t>
            </w:r>
            <w:proofErr w:type="spellEnd"/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DEEC43A" w14:textId="040D61C6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18E0565B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CE1A51" w14:textId="26E1D161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3)</w:t>
            </w:r>
            <w:r w:rsidRPr="00861F03">
              <w:tab/>
              <w:t>Min nosnost na 9 m              1.650 kg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D45C29" w14:textId="106C955E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6DD0FA31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5DA325" w14:textId="062EC013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4)</w:t>
            </w:r>
            <w:r w:rsidRPr="00861F03">
              <w:tab/>
              <w:t>HR skládaná do Z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48A439" w14:textId="30AADF9C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71625ACB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1B21B1" w14:textId="26CBEDC5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5)</w:t>
            </w:r>
            <w:r w:rsidRPr="00861F03">
              <w:tab/>
              <w:t>Min. dosah ramene                 9,5 m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E82863" w14:textId="265140CF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504144F8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420F43" w14:textId="746DEC9A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6)</w:t>
            </w:r>
            <w:r w:rsidRPr="00861F03">
              <w:tab/>
              <w:t xml:space="preserve">Min. krouticí </w:t>
            </w:r>
            <w:proofErr w:type="spellStart"/>
            <w:r w:rsidRPr="00861F03">
              <w:t>monent</w:t>
            </w:r>
            <w:proofErr w:type="spellEnd"/>
            <w:r w:rsidRPr="00861F03">
              <w:t xml:space="preserve">              30 </w:t>
            </w:r>
            <w:proofErr w:type="spellStart"/>
            <w:r w:rsidRPr="00861F03">
              <w:t>kNm</w:t>
            </w:r>
            <w:proofErr w:type="spellEnd"/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505E60" w14:textId="16301693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500FC0AD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FFAB7E" w14:textId="1E5AF8CF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7)</w:t>
            </w:r>
            <w:r w:rsidRPr="00861F03">
              <w:tab/>
              <w:t>Min. úhel natáčení                    420 °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62F2F7" w14:textId="4DDEC2EB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604F5ECC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75F899D" w14:textId="268588A0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8)</w:t>
            </w:r>
            <w:r w:rsidRPr="00861F03">
              <w:tab/>
              <w:t>Max. hmotnost včetně op</w:t>
            </w:r>
            <w:r>
              <w:t xml:space="preserve">ěr  bez příslušenství  2.750 </w:t>
            </w:r>
            <w:r w:rsidRPr="00861F03">
              <w:t>kg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2EFA90" w14:textId="75E89014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1AE9174C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F494F2" w14:textId="3DE30C84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9)</w:t>
            </w:r>
            <w:r w:rsidRPr="00861F03">
              <w:tab/>
              <w:t>Min. dodávané množství oleje do rozvaděčů 2x 80 l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02E3C7" w14:textId="75EC3FE1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0419FB4E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2F7574" w14:textId="7D3FE661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10)</w:t>
            </w:r>
            <w:r w:rsidRPr="00861F03">
              <w:tab/>
              <w:t>Výklopné talíře podpěr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B9E1D8" w14:textId="035B9B3F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1E4ACE71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CA9F06" w14:textId="210DC31C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11)</w:t>
            </w:r>
            <w:r w:rsidRPr="00861F03">
              <w:tab/>
              <w:t>Opěry jsou pevná součást podstavce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439228" w14:textId="6C5F60C7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097F8986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DE8A96" w14:textId="3505ABA7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12)</w:t>
            </w:r>
            <w:r w:rsidRPr="00861F03">
              <w:tab/>
              <w:t>Vyhřívaná sedačka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77658D" w14:textId="2210A888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64DBAA6F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CB8F1A" w14:textId="42D903C3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13)</w:t>
            </w:r>
            <w:r w:rsidRPr="00861F03">
              <w:tab/>
              <w:t>Čtyřsponový závěs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3DC5D8" w14:textId="741E3528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5509CE9A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2662A7" w14:textId="2545DAB9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14)</w:t>
            </w:r>
            <w:r w:rsidRPr="00861F03">
              <w:tab/>
              <w:t>Čtyřbodové uchycení k rámu vozidla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A383F4" w14:textId="45EA31DF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0D7FA17A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47D52A" w14:textId="43E6B016" w:rsidR="0089758E" w:rsidRDefault="00861F03" w:rsidP="00B929B3">
            <w:pPr>
              <w:pStyle w:val="Standard"/>
              <w:spacing w:after="0" w:line="240" w:lineRule="auto"/>
              <w:jc w:val="left"/>
            </w:pPr>
            <w:r w:rsidRPr="00861F03">
              <w:t>15)</w:t>
            </w:r>
            <w:r w:rsidRPr="00861F03">
              <w:tab/>
              <w:t>1 ks volná hydraulická funkce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C9A9B1" w14:textId="4488190B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79E98D15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62854F" w14:textId="131EB312" w:rsidR="0089758E" w:rsidRDefault="00DC7A74" w:rsidP="00DC7A74">
            <w:pPr>
              <w:pStyle w:val="Standard"/>
              <w:spacing w:after="0" w:line="240" w:lineRule="auto"/>
              <w:jc w:val="left"/>
            </w:pPr>
            <w:r w:rsidRPr="00DC7A74">
              <w:lastRenderedPageBreak/>
              <w:t>16)</w:t>
            </w:r>
            <w:r w:rsidRPr="00DC7A74">
              <w:tab/>
              <w:t xml:space="preserve"> Drapák o obsahu min 0,5 m</w:t>
            </w:r>
            <w:r w:rsidRPr="00DC7A74">
              <w:rPr>
                <w:vertAlign w:val="superscript"/>
              </w:rPr>
              <w:t>2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A11D31" w14:textId="34359D74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04F0DDB1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D645E3" w14:textId="3BAA486D" w:rsidR="0089758E" w:rsidRDefault="00DC7A74" w:rsidP="00DC7A74">
            <w:pPr>
              <w:pStyle w:val="Standard"/>
              <w:spacing w:after="0" w:line="240" w:lineRule="auto"/>
              <w:jc w:val="left"/>
            </w:pPr>
            <w:r>
              <w:t xml:space="preserve">17) </w:t>
            </w:r>
            <w:r w:rsidR="006A7883">
              <w:t xml:space="preserve">        </w:t>
            </w:r>
            <w:r w:rsidRPr="00DC7A74">
              <w:t xml:space="preserve">Hydraulické hadice včetně trubek k rotátoru vedené uvnitř hlavního a </w:t>
            </w:r>
            <w:r w:rsidR="006A7883">
              <w:t xml:space="preserve">  </w:t>
            </w:r>
            <w:r w:rsidRPr="00DC7A74">
              <w:t>zlamovacího ramene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A43C532" w14:textId="07E6388C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4ABA4200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759091" w14:textId="0CE58D10" w:rsidR="0089758E" w:rsidRDefault="00DC7A74" w:rsidP="00DC7A74">
            <w:pPr>
              <w:pStyle w:val="Standard"/>
              <w:spacing w:after="0" w:line="240" w:lineRule="auto"/>
              <w:jc w:val="left"/>
            </w:pPr>
            <w:r w:rsidRPr="00DC7A74">
              <w:t>18)</w:t>
            </w:r>
            <w:r w:rsidRPr="00DC7A74">
              <w:tab/>
              <w:t xml:space="preserve"> Olejový chladič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37C62B" w14:textId="2613F853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24F24206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82E6CB" w14:textId="0A21E88A" w:rsidR="0089758E" w:rsidRDefault="00CF6D8B" w:rsidP="00DC7A74">
            <w:pPr>
              <w:pStyle w:val="Standard"/>
              <w:spacing w:after="0" w:line="240" w:lineRule="auto"/>
              <w:jc w:val="left"/>
            </w:pPr>
            <w:r>
              <w:t>19)</w:t>
            </w:r>
            <w:r>
              <w:tab/>
              <w:t xml:space="preserve"> Dvouokruhové čerpadlo 53/53</w:t>
            </w:r>
            <w:r w:rsidR="00DC7A74" w:rsidRPr="00DC7A74">
              <w:t xml:space="preserve"> l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DCF00F" w14:textId="672A5B19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783E1660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DB9A19" w14:textId="766FC435" w:rsidR="0089758E" w:rsidRPr="008853EF" w:rsidRDefault="00DC7A74" w:rsidP="00DC7A74">
            <w:pPr>
              <w:pStyle w:val="Standard"/>
              <w:spacing w:after="0" w:line="240" w:lineRule="auto"/>
              <w:jc w:val="left"/>
              <w:rPr>
                <w:shd w:val="clear" w:color="auto" w:fill="66FFFF"/>
              </w:rPr>
            </w:pPr>
            <w:r w:rsidRPr="00DC7A74">
              <w:t>20)</w:t>
            </w:r>
            <w:r w:rsidRPr="00DC7A74">
              <w:tab/>
              <w:t xml:space="preserve"> 4 ks LED světel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B39A96" w14:textId="5EF5AAD7" w:rsidR="0089758E" w:rsidRPr="008853EF" w:rsidRDefault="0089758E" w:rsidP="00B929B3">
            <w:pPr>
              <w:pStyle w:val="Standard"/>
              <w:spacing w:after="0" w:line="240" w:lineRule="auto"/>
              <w:jc w:val="left"/>
              <w:rPr>
                <w:shd w:val="clear" w:color="auto" w:fill="66FFFF"/>
              </w:rPr>
            </w:pPr>
          </w:p>
        </w:tc>
      </w:tr>
      <w:tr w:rsidR="0089758E" w14:paraId="0BA3413C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ED4F53" w14:textId="5B8E3866" w:rsidR="0089758E" w:rsidRDefault="00DC7A74" w:rsidP="00DC7A74">
            <w:pPr>
              <w:pStyle w:val="Standard"/>
              <w:spacing w:after="0" w:line="240" w:lineRule="auto"/>
              <w:jc w:val="left"/>
            </w:pPr>
            <w:r>
              <w:t xml:space="preserve">21) </w:t>
            </w:r>
            <w:r w:rsidR="006A7883">
              <w:t xml:space="preserve">       </w:t>
            </w:r>
            <w:r w:rsidRPr="00DC7A74">
              <w:t>Startování a vypínání motoru vozidla z HR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08CCBD" w14:textId="11A7F55E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41CFC0A6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0A6039" w14:textId="1B563274" w:rsidR="0089758E" w:rsidRDefault="00DC7A74" w:rsidP="00DC7A74">
            <w:pPr>
              <w:pStyle w:val="Standard"/>
              <w:spacing w:after="0" w:line="240" w:lineRule="auto"/>
              <w:jc w:val="left"/>
            </w:pPr>
            <w:r>
              <w:t xml:space="preserve">22) </w:t>
            </w:r>
            <w:r w:rsidR="006A7883">
              <w:t xml:space="preserve">       </w:t>
            </w:r>
            <w:r w:rsidRPr="00DC7A74">
              <w:t>Přidávání otáček motoru  vozidla  z HR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1A1621" w14:textId="737CC2E7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21C4A0D9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A1E7B91" w14:textId="51D0EEEC" w:rsidR="0089758E" w:rsidRDefault="00DC7A74" w:rsidP="00DC7A74">
            <w:pPr>
              <w:pStyle w:val="Standard"/>
              <w:spacing w:after="0" w:line="240" w:lineRule="auto"/>
              <w:jc w:val="left"/>
            </w:pPr>
            <w:r>
              <w:t xml:space="preserve">23) </w:t>
            </w:r>
            <w:r w:rsidR="006A7883">
              <w:t xml:space="preserve">       </w:t>
            </w:r>
            <w:r w:rsidRPr="00DC7A74">
              <w:t>Kotevní šrouby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774CA8" w14:textId="144E1B1F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77032C7A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5B7A2E" w14:textId="4B3DE3E2" w:rsidR="0089758E" w:rsidRDefault="00DC7A74" w:rsidP="00DC7A74">
            <w:pPr>
              <w:pStyle w:val="Standard"/>
              <w:spacing w:after="0" w:line="240" w:lineRule="auto"/>
              <w:jc w:val="left"/>
            </w:pPr>
            <w:r>
              <w:t xml:space="preserve">24) </w:t>
            </w:r>
            <w:r w:rsidR="006A7883">
              <w:t xml:space="preserve">       </w:t>
            </w:r>
            <w:r w:rsidRPr="00DC7A74">
              <w:t>Nekonečný rotátor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36AE5EA" w14:textId="137329D7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1306DBDB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CE48CB" w14:textId="648D2F38" w:rsidR="0089758E" w:rsidRDefault="00DC7A74" w:rsidP="00DC7A74">
            <w:pPr>
              <w:pStyle w:val="Standard"/>
              <w:spacing w:after="0" w:line="240" w:lineRule="auto"/>
              <w:jc w:val="left"/>
            </w:pPr>
            <w:r>
              <w:t xml:space="preserve">25) </w:t>
            </w:r>
            <w:r w:rsidR="006A7883">
              <w:t xml:space="preserve">       </w:t>
            </w:r>
            <w:r w:rsidRPr="00DC7A74">
              <w:t>Opěrka kmenů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CB72FB" w14:textId="4418CBB6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717CB2B9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92D1DC7" w14:textId="742016D0" w:rsidR="0089758E" w:rsidRDefault="00DC7A74" w:rsidP="00DC7A74">
            <w:pPr>
              <w:pStyle w:val="Standard"/>
              <w:spacing w:after="0" w:line="240" w:lineRule="auto"/>
              <w:jc w:val="left"/>
            </w:pPr>
            <w:r>
              <w:t xml:space="preserve">26) </w:t>
            </w:r>
            <w:r w:rsidR="006A7883">
              <w:t xml:space="preserve">       </w:t>
            </w:r>
            <w:r w:rsidRPr="00DC7A74">
              <w:t>Ochranná stříška jeřábníka ovládaná vzduchem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DC1E22" w14:textId="064BDE36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13682A53" w14:textId="77777777" w:rsidTr="004C2B13"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44B523" w14:textId="64AC5441" w:rsidR="0089758E" w:rsidRDefault="00DC7A74" w:rsidP="00DC7A74">
            <w:pPr>
              <w:pStyle w:val="Standard"/>
              <w:spacing w:after="0" w:line="240" w:lineRule="auto"/>
              <w:jc w:val="left"/>
              <w:rPr>
                <w:rFonts w:cs="Arial"/>
                <w:szCs w:val="20"/>
              </w:rPr>
            </w:pPr>
            <w:r w:rsidRPr="00DC7A74">
              <w:t xml:space="preserve">27) </w:t>
            </w:r>
            <w:r w:rsidR="006A7883">
              <w:t xml:space="preserve">       </w:t>
            </w:r>
            <w:r w:rsidRPr="00DC7A74">
              <w:t>Montáž HR na vozidlo, včetně oleje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DE5C94C" w14:textId="27986FF9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2DEC7E8F" w14:textId="77777777" w:rsidTr="004C2B13">
        <w:trPr>
          <w:trHeight w:val="70"/>
        </w:trPr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2C7118" w14:textId="5EECA63B" w:rsidR="0089758E" w:rsidRPr="008853EF" w:rsidRDefault="00DC7A74" w:rsidP="00DC7A74">
            <w:pPr>
              <w:pStyle w:val="Standard"/>
              <w:spacing w:after="0" w:line="240" w:lineRule="auto"/>
              <w:jc w:val="left"/>
            </w:pPr>
            <w:r>
              <w:t xml:space="preserve">28) </w:t>
            </w:r>
            <w:r w:rsidR="006A7883">
              <w:t xml:space="preserve">       </w:t>
            </w:r>
            <w:r w:rsidRPr="00DC7A74">
              <w:t>Demontáž stávající HR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FB6F60" w14:textId="1E0C5955" w:rsidR="0089758E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20A443BE" w14:textId="77777777" w:rsidTr="004C2B13">
        <w:trPr>
          <w:trHeight w:val="181"/>
        </w:trPr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4BFEEC4" w14:textId="53694FB4" w:rsidR="0089758E" w:rsidRPr="008853EF" w:rsidRDefault="00DC7A74" w:rsidP="00DC7A74">
            <w:pPr>
              <w:pStyle w:val="Standard"/>
              <w:spacing w:after="0" w:line="240" w:lineRule="auto"/>
              <w:jc w:val="left"/>
            </w:pPr>
            <w:r>
              <w:t>29)</w:t>
            </w:r>
            <w:r>
              <w:tab/>
              <w:t>Záruka</w:t>
            </w:r>
            <w:r w:rsidRPr="00DC7A74">
              <w:t>: ocelová konstrukce 36 měsíců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237C599" w14:textId="5ACBDC5B" w:rsidR="0089758E" w:rsidRPr="008853EF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89758E" w14:paraId="4134DDBF" w14:textId="77777777" w:rsidTr="004C2B13">
        <w:trPr>
          <w:trHeight w:val="70"/>
        </w:trPr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C79C99" w14:textId="10256578" w:rsidR="0089758E" w:rsidRPr="008853EF" w:rsidRDefault="00DC7A74" w:rsidP="00DC7A74">
            <w:pPr>
              <w:pStyle w:val="Standard"/>
              <w:spacing w:after="0" w:line="240" w:lineRule="auto"/>
              <w:jc w:val="left"/>
            </w:pPr>
            <w:r>
              <w:t>30)</w:t>
            </w:r>
            <w:r w:rsidR="006A7883">
              <w:t xml:space="preserve">       </w:t>
            </w:r>
            <w:r>
              <w:t xml:space="preserve">Záruka: </w:t>
            </w:r>
            <w:r w:rsidRPr="00DC7A74">
              <w:t>Hydraulika 12 měsíců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CF8BD8" w14:textId="59D17E07" w:rsidR="0089758E" w:rsidRPr="008853EF" w:rsidRDefault="0089758E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DC7A74" w14:paraId="0405CE2E" w14:textId="77777777" w:rsidTr="004C2B13">
        <w:trPr>
          <w:trHeight w:val="70"/>
        </w:trPr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3EC5C4" w14:textId="1BF99317" w:rsidR="00DC7A74" w:rsidRPr="008853EF" w:rsidRDefault="00DC7A74" w:rsidP="00DC7A74">
            <w:pPr>
              <w:pStyle w:val="Standard"/>
              <w:spacing w:after="0" w:line="240" w:lineRule="auto"/>
              <w:jc w:val="left"/>
            </w:pPr>
            <w:r>
              <w:t xml:space="preserve">31) </w:t>
            </w:r>
            <w:r w:rsidR="006A7883">
              <w:t xml:space="preserve">      </w:t>
            </w:r>
            <w:r w:rsidRPr="00DC7A74">
              <w:t>Revizní zpráva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35AB9E" w14:textId="77777777" w:rsidR="00DC7A74" w:rsidRPr="008853EF" w:rsidRDefault="00DC7A74" w:rsidP="00B929B3">
            <w:pPr>
              <w:pStyle w:val="Standard"/>
              <w:spacing w:after="0" w:line="240" w:lineRule="auto"/>
              <w:jc w:val="left"/>
            </w:pPr>
          </w:p>
        </w:tc>
      </w:tr>
      <w:tr w:rsidR="00DC7A74" w14:paraId="4ADB6A20" w14:textId="77777777" w:rsidTr="004C2B13">
        <w:trPr>
          <w:trHeight w:val="70"/>
        </w:trPr>
        <w:tc>
          <w:tcPr>
            <w:tcW w:w="7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95101BE" w14:textId="06F0479F" w:rsidR="00DC7A74" w:rsidRDefault="00DC7A74" w:rsidP="00DC7A74">
            <w:pPr>
              <w:pStyle w:val="Standard"/>
              <w:spacing w:after="0" w:line="240" w:lineRule="auto"/>
              <w:jc w:val="left"/>
            </w:pPr>
            <w:r w:rsidRPr="00DC7A74">
              <w:t>3</w:t>
            </w:r>
            <w:r>
              <w:t>2</w:t>
            </w:r>
            <w:r w:rsidRPr="00DC7A74">
              <w:t>)</w:t>
            </w:r>
            <w:r w:rsidRPr="00DC7A74">
              <w:tab/>
              <w:t>Servis do 130 km</w:t>
            </w:r>
          </w:p>
        </w:tc>
        <w:tc>
          <w:tcPr>
            <w:tcW w:w="2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E599" w:themeFill="accent4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3BCBE40" w14:textId="77777777" w:rsidR="00DC7A74" w:rsidRPr="008853EF" w:rsidRDefault="00DC7A74" w:rsidP="00B929B3">
            <w:pPr>
              <w:pStyle w:val="Standard"/>
              <w:spacing w:after="0" w:line="240" w:lineRule="auto"/>
              <w:jc w:val="left"/>
            </w:pPr>
          </w:p>
        </w:tc>
      </w:tr>
    </w:tbl>
    <w:p w14:paraId="2B3B0D8E" w14:textId="77777777" w:rsidR="00EB0227" w:rsidRPr="00EB0227" w:rsidRDefault="00EB0227" w:rsidP="003950F9">
      <w:pPr>
        <w:pStyle w:val="Normlslovan"/>
        <w:numPr>
          <w:ilvl w:val="0"/>
          <w:numId w:val="0"/>
        </w:numPr>
        <w:ind w:left="720"/>
        <w:rPr>
          <w:rFonts w:cs="Arial"/>
          <w:szCs w:val="20"/>
        </w:rPr>
      </w:pPr>
      <w:bookmarkStart w:id="2" w:name="_GoBack"/>
      <w:bookmarkEnd w:id="2"/>
    </w:p>
    <w:p w14:paraId="79E33ACE" w14:textId="0A6A4DE5" w:rsidR="00061718" w:rsidRDefault="00061718" w:rsidP="00EB0227">
      <w:r>
        <w:t>Pokud jsou v těchto technických podmínkách uvedeny odkazy na jednotlivá obchodní jména, zvláštní označení podniků, zvláštní označení výrobků, výkonů nebo obchodních materiálů, které platí pro určitý podnik nebo organizační jednotku za příznačné, patenty a užitné vzory, umožňuje zadavatel použití i jiných technických a kvalitativně obdobných řešení. Variantní řešení se nepřipouští.</w:t>
      </w:r>
    </w:p>
    <w:p w14:paraId="5F636154" w14:textId="77777777" w:rsidR="00061718" w:rsidRDefault="00061718" w:rsidP="00553A1B"/>
    <w:p w14:paraId="78AB09E3" w14:textId="04B9A344" w:rsidR="005810F1" w:rsidRPr="005810F1" w:rsidRDefault="005810F1" w:rsidP="00553A1B">
      <w:r w:rsidRPr="005810F1">
        <w:rPr>
          <w:b/>
        </w:rPr>
        <w:t>Pozn.:</w:t>
      </w:r>
      <w:r w:rsidRPr="005810F1">
        <w:t xml:space="preserve"> Toto jsou zadavatelem </w:t>
      </w:r>
      <w:r w:rsidR="00AB6A85">
        <w:t xml:space="preserve">minimálně </w:t>
      </w:r>
      <w:r w:rsidRPr="005810F1">
        <w:t>požadované parametry</w:t>
      </w:r>
      <w:r w:rsidR="00AB6A85">
        <w:t>.</w:t>
      </w:r>
      <w:r w:rsidRPr="005810F1">
        <w:t xml:space="preserve"> </w:t>
      </w:r>
      <w:r w:rsidR="00AB6A85">
        <w:t>D</w:t>
      </w:r>
      <w:r w:rsidRPr="005810F1">
        <w:t>odavatel může v rámci své nabídky dle svého uvážení nabídnout i další zde výslovně nepožadované parametry a vybavení dodávan</w:t>
      </w:r>
      <w:r w:rsidR="00AB6A85">
        <w:t>ého</w:t>
      </w:r>
      <w:r w:rsidRPr="005810F1">
        <w:t xml:space="preserve"> </w:t>
      </w:r>
      <w:r w:rsidR="0089758E">
        <w:t>zařízení</w:t>
      </w:r>
      <w:r w:rsidR="004B50E8">
        <w:t>.</w:t>
      </w:r>
    </w:p>
    <w:p w14:paraId="54A73390" w14:textId="77777777" w:rsidR="005810F1" w:rsidRDefault="005810F1"/>
    <w:p w14:paraId="2D71FCF2" w14:textId="77777777" w:rsidR="005810F1" w:rsidRDefault="005810F1" w:rsidP="0089758E">
      <w:pPr>
        <w:pStyle w:val="Nadpis7"/>
        <w:ind w:left="426" w:hanging="426"/>
      </w:pPr>
      <w:r>
        <w:t>Prohlášení účastníka</w:t>
      </w:r>
    </w:p>
    <w:p w14:paraId="1DFFD820" w14:textId="159296D6" w:rsidR="005810F1" w:rsidRDefault="005810F1" w:rsidP="00CA71F0">
      <w:pPr>
        <w:pStyle w:val="Standard"/>
      </w:pPr>
      <w:r>
        <w:t>Svým podpisem stvrzujeme, že naše nabídka splňuje veškeré jednotlivé výše uvedené technické podmínky a parametry</w:t>
      </w:r>
      <w:r w:rsidR="0089758E">
        <w:t xml:space="preserve">, což jsme stvrdili i vyplněním ANO ve </w:t>
      </w:r>
      <w:r w:rsidR="00CA71F0">
        <w:t>sloupci „Potvrzení o splnění požadavků dodavatelem ANO/NE“.</w:t>
      </w:r>
      <w:r w:rsidR="0062055B">
        <w:t xml:space="preserve"> I jediné NE u jakékoli položky výše v tabulce znamená nesplnění požadavků zadavatele</w:t>
      </w:r>
      <w:r w:rsidR="004C2B13">
        <w:t xml:space="preserve"> a tím jeho vyloučení ze zadávacího řízení</w:t>
      </w:r>
    </w:p>
    <w:p w14:paraId="7B131272" w14:textId="77777777" w:rsidR="005810F1" w:rsidRDefault="005810F1" w:rsidP="005810F1"/>
    <w:p w14:paraId="25B7A2EA" w14:textId="77777777" w:rsidR="005810F1" w:rsidRDefault="005810F1" w:rsidP="005810F1"/>
    <w:p w14:paraId="10F1BC75" w14:textId="77777777" w:rsidR="005810F1" w:rsidRDefault="005810F1" w:rsidP="005810F1"/>
    <w:p w14:paraId="24D798FE" w14:textId="77777777" w:rsidR="005810F1" w:rsidRDefault="005810F1" w:rsidP="005810F1">
      <w:pPr>
        <w:pStyle w:val="Standard"/>
      </w:pPr>
      <w:r>
        <w:t>V ………………………………………….…… dne …………………………</w:t>
      </w:r>
      <w:r>
        <w:tab/>
      </w:r>
      <w:r>
        <w:tab/>
      </w:r>
      <w:r>
        <w:tab/>
      </w:r>
    </w:p>
    <w:p w14:paraId="7E14FC7F" w14:textId="77777777" w:rsidR="005810F1" w:rsidRDefault="005810F1" w:rsidP="005810F1"/>
    <w:p w14:paraId="06278522" w14:textId="77777777" w:rsidR="005810F1" w:rsidRDefault="005810F1" w:rsidP="005810F1"/>
    <w:p w14:paraId="352B1988" w14:textId="77777777" w:rsidR="005810F1" w:rsidRDefault="005810F1" w:rsidP="005810F1">
      <w:pPr>
        <w:pStyle w:val="Standard"/>
      </w:pPr>
      <w:r>
        <w:t>……………………………………………………………</w:t>
      </w:r>
    </w:p>
    <w:p w14:paraId="517F4861" w14:textId="77777777" w:rsidR="005810F1" w:rsidRDefault="005810F1" w:rsidP="005810F1">
      <w:pPr>
        <w:pStyle w:val="Bezmezer"/>
      </w:pPr>
      <w:r>
        <w:t>jméno, funkce</w:t>
      </w:r>
    </w:p>
    <w:p w14:paraId="1B088024" w14:textId="77777777" w:rsidR="005810F1" w:rsidRDefault="005810F1" w:rsidP="005810F1">
      <w:pPr>
        <w:pStyle w:val="Standard"/>
      </w:pPr>
      <w:r>
        <w:t>podpis oprávněného zástupce účastníka</w:t>
      </w:r>
    </w:p>
    <w:p w14:paraId="3028A2D2" w14:textId="77777777" w:rsidR="005810F1" w:rsidRDefault="005810F1"/>
    <w:sectPr w:rsidR="005810F1" w:rsidSect="002470DF">
      <w:headerReference w:type="default" r:id="rId9"/>
      <w:footerReference w:type="default" r:id="rId10"/>
      <w:pgSz w:w="11906" w:h="16838"/>
      <w:pgMar w:top="1560" w:right="1134" w:bottom="907" w:left="1134" w:header="709" w:footer="709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E0A76" w14:textId="77777777" w:rsidR="0051133A" w:rsidRDefault="0051133A" w:rsidP="005810F1">
      <w:pPr>
        <w:spacing w:after="0" w:line="240" w:lineRule="auto"/>
      </w:pPr>
      <w:r>
        <w:separator/>
      </w:r>
    </w:p>
  </w:endnote>
  <w:endnote w:type="continuationSeparator" w:id="0">
    <w:p w14:paraId="55A71264" w14:textId="77777777" w:rsidR="0051133A" w:rsidRDefault="0051133A" w:rsidP="0058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7BF60" w14:textId="4210E8F9" w:rsidR="005810F1" w:rsidRPr="0080681E" w:rsidRDefault="005810F1" w:rsidP="005810F1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CF6D8B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CF6D8B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  <w:p w14:paraId="7FD59957" w14:textId="77777777" w:rsidR="005810F1" w:rsidRDefault="005810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D7D19" w14:textId="77777777" w:rsidR="0051133A" w:rsidRDefault="0051133A" w:rsidP="005810F1">
      <w:pPr>
        <w:spacing w:after="0" w:line="240" w:lineRule="auto"/>
      </w:pPr>
      <w:r>
        <w:separator/>
      </w:r>
    </w:p>
  </w:footnote>
  <w:footnote w:type="continuationSeparator" w:id="0">
    <w:p w14:paraId="138F3343" w14:textId="77777777" w:rsidR="0051133A" w:rsidRDefault="0051133A" w:rsidP="00581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458A6" w14:textId="47874A74" w:rsidR="005810F1" w:rsidRDefault="005810F1" w:rsidP="005810F1">
    <w:pPr>
      <w:pStyle w:val="Nzev"/>
      <w:jc w:val="right"/>
    </w:pPr>
    <w:r>
      <w:t>Příloha č.</w:t>
    </w:r>
    <w:r w:rsidR="00DB3F9E">
      <w:t xml:space="preserve"> </w:t>
    </w:r>
    <w:r>
      <w:t>2_Technické podmínky - zadání</w:t>
    </w:r>
  </w:p>
  <w:p w14:paraId="63498CD4" w14:textId="77777777" w:rsidR="005810F1" w:rsidRDefault="005810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979DE"/>
    <w:multiLevelType w:val="hybridMultilevel"/>
    <w:tmpl w:val="15DAD1F6"/>
    <w:lvl w:ilvl="0" w:tplc="2F7278F0">
      <w:start w:val="1"/>
      <w:numFmt w:val="decimal"/>
      <w:pStyle w:val="Normlslovan"/>
      <w:lvlText w:val="%1."/>
      <w:lvlJc w:val="left"/>
      <w:pPr>
        <w:ind w:left="720" w:hanging="360"/>
      </w:pPr>
      <w:rPr>
        <w:rFonts w:hint="default"/>
      </w:rPr>
    </w:lvl>
    <w:lvl w:ilvl="1" w:tplc="76842778">
      <w:start w:val="1"/>
      <w:numFmt w:val="lowerLetter"/>
      <w:pStyle w:val="Normla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C366E"/>
    <w:multiLevelType w:val="multilevel"/>
    <w:tmpl w:val="C40EBE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75D4874"/>
    <w:multiLevelType w:val="multilevel"/>
    <w:tmpl w:val="62F25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13D065F"/>
    <w:multiLevelType w:val="hybridMultilevel"/>
    <w:tmpl w:val="8A265C24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94C81"/>
    <w:multiLevelType w:val="hybridMultilevel"/>
    <w:tmpl w:val="811C7AFE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 w15:restartNumberingAfterBreak="0">
    <w:nsid w:val="5ACC111C"/>
    <w:multiLevelType w:val="multilevel"/>
    <w:tmpl w:val="083418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6" w15:restartNumberingAfterBreak="0">
    <w:nsid w:val="5B96402C"/>
    <w:multiLevelType w:val="multilevel"/>
    <w:tmpl w:val="53C07D6C"/>
    <w:styleLink w:val="WWNum6"/>
    <w:lvl w:ilvl="0">
      <w:numFmt w:val="bullet"/>
      <w:lvlText w:val="-"/>
      <w:lvlJc w:val="left"/>
      <w:pPr>
        <w:ind w:left="720" w:hanging="360"/>
      </w:pPr>
      <w:rPr>
        <w:rFonts w:ascii="Arial" w:eastAsia="Calibri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C0E568C"/>
    <w:multiLevelType w:val="multilevel"/>
    <w:tmpl w:val="E208C9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30E54A2"/>
    <w:multiLevelType w:val="multilevel"/>
    <w:tmpl w:val="432AF94E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3"/>
  </w:num>
  <w:num w:numId="11">
    <w:abstractNumId w:val="6"/>
  </w:num>
  <w:num w:numId="12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0F1"/>
    <w:rsid w:val="00043C25"/>
    <w:rsid w:val="00061718"/>
    <w:rsid w:val="000B0C35"/>
    <w:rsid w:val="00122A09"/>
    <w:rsid w:val="00122A53"/>
    <w:rsid w:val="001553FC"/>
    <w:rsid w:val="001851E8"/>
    <w:rsid w:val="001B5ECF"/>
    <w:rsid w:val="001C13AE"/>
    <w:rsid w:val="001F6026"/>
    <w:rsid w:val="00233A22"/>
    <w:rsid w:val="002470DF"/>
    <w:rsid w:val="00267524"/>
    <w:rsid w:val="002B27CB"/>
    <w:rsid w:val="002B5330"/>
    <w:rsid w:val="003950F9"/>
    <w:rsid w:val="003D3A55"/>
    <w:rsid w:val="0044604B"/>
    <w:rsid w:val="00483369"/>
    <w:rsid w:val="004B0EA9"/>
    <w:rsid w:val="004B50E8"/>
    <w:rsid w:val="004C2B13"/>
    <w:rsid w:val="0051133A"/>
    <w:rsid w:val="00553A1B"/>
    <w:rsid w:val="005810F1"/>
    <w:rsid w:val="005D218A"/>
    <w:rsid w:val="00605F9B"/>
    <w:rsid w:val="0062055B"/>
    <w:rsid w:val="00664C2D"/>
    <w:rsid w:val="0067177A"/>
    <w:rsid w:val="0068586F"/>
    <w:rsid w:val="00697567"/>
    <w:rsid w:val="006A7883"/>
    <w:rsid w:val="006E6795"/>
    <w:rsid w:val="00722ACC"/>
    <w:rsid w:val="00734652"/>
    <w:rsid w:val="00767C9F"/>
    <w:rsid w:val="007D2B23"/>
    <w:rsid w:val="007D337E"/>
    <w:rsid w:val="00823421"/>
    <w:rsid w:val="00855727"/>
    <w:rsid w:val="00861F03"/>
    <w:rsid w:val="008632AD"/>
    <w:rsid w:val="008913FB"/>
    <w:rsid w:val="0089758E"/>
    <w:rsid w:val="00953CEA"/>
    <w:rsid w:val="009A5593"/>
    <w:rsid w:val="009E1673"/>
    <w:rsid w:val="00A21004"/>
    <w:rsid w:val="00AA58EB"/>
    <w:rsid w:val="00AB6A85"/>
    <w:rsid w:val="00B14D29"/>
    <w:rsid w:val="00BE1EC2"/>
    <w:rsid w:val="00C76752"/>
    <w:rsid w:val="00CA71F0"/>
    <w:rsid w:val="00CF6D8B"/>
    <w:rsid w:val="00DA62AF"/>
    <w:rsid w:val="00DA6BB5"/>
    <w:rsid w:val="00DB3F9E"/>
    <w:rsid w:val="00DC7A74"/>
    <w:rsid w:val="00DE5616"/>
    <w:rsid w:val="00DF2EFD"/>
    <w:rsid w:val="00E13407"/>
    <w:rsid w:val="00EB0227"/>
    <w:rsid w:val="00EB762D"/>
    <w:rsid w:val="00EC397E"/>
    <w:rsid w:val="00F140C6"/>
    <w:rsid w:val="00F71CEE"/>
    <w:rsid w:val="00FD28D1"/>
    <w:rsid w:val="00FE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45B5C"/>
  <w15:docId w15:val="{34DC157E-2638-4BE6-A72C-70AD37C8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10F1"/>
    <w:pPr>
      <w:spacing w:after="120" w:line="276" w:lineRule="auto"/>
      <w:jc w:val="both"/>
    </w:pPr>
    <w:rPr>
      <w:rFonts w:ascii="Arial" w:hAnsi="Arial" w:cs="Calibr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rFonts w:eastAsia="Times New Roman" w:cs="Arial"/>
      <w:b/>
      <w:bCs/>
      <w:sz w:val="44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  <w:szCs w:val="24"/>
    </w:rPr>
  </w:style>
  <w:style w:type="paragraph" w:styleId="Nadpis4">
    <w:name w:val="heading 4"/>
    <w:aliases w:val="Nadpis 4N"/>
    <w:basedOn w:val="Normln"/>
    <w:next w:val="Normln"/>
    <w:link w:val="Nadpis4Char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semiHidden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267524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qFormat/>
    <w:rsid w:val="00DF2EFD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267524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semiHidden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Zdraznnjemn">
    <w:name w:val="Subtle Emphasis"/>
    <w:aliases w:val="Normální číslovaný"/>
    <w:uiPriority w:val="19"/>
    <w:qFormat/>
    <w:rsid w:val="00553A1B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59"/>
    <w:rsid w:val="005810F1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810F1"/>
  </w:style>
  <w:style w:type="paragraph" w:styleId="Zhlav">
    <w:name w:val="header"/>
    <w:basedOn w:val="Normln"/>
    <w:link w:val="Zhlav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10F1"/>
    <w:rPr>
      <w:rFonts w:ascii="Arial" w:hAnsi="Arial" w:cs="Calibri"/>
      <w:sz w:val="20"/>
    </w:rPr>
  </w:style>
  <w:style w:type="paragraph" w:styleId="Zpat">
    <w:name w:val="footer"/>
    <w:basedOn w:val="Normln"/>
    <w:link w:val="ZpatChar"/>
    <w:uiPriority w:val="99"/>
    <w:unhideWhenUsed/>
    <w:rsid w:val="00581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10F1"/>
    <w:rPr>
      <w:rFonts w:ascii="Arial" w:hAnsi="Arial" w:cs="Calibri"/>
      <w:sz w:val="20"/>
    </w:rPr>
  </w:style>
  <w:style w:type="paragraph" w:customStyle="1" w:styleId="Standard">
    <w:name w:val="Standard"/>
    <w:rsid w:val="005810F1"/>
    <w:pPr>
      <w:suppressAutoHyphens/>
      <w:autoSpaceDN w:val="0"/>
      <w:spacing w:after="120" w:line="276" w:lineRule="auto"/>
      <w:jc w:val="both"/>
      <w:textAlignment w:val="baseline"/>
    </w:pPr>
    <w:rPr>
      <w:rFonts w:ascii="Arial" w:eastAsia="Arial" w:hAnsi="Arial" w:cs="Calibri"/>
      <w:kern w:val="3"/>
      <w:sz w:val="20"/>
    </w:rPr>
  </w:style>
  <w:style w:type="paragraph" w:styleId="Odstavecseseznamem">
    <w:name w:val="List Paragraph"/>
    <w:basedOn w:val="Standard"/>
    <w:qFormat/>
    <w:rsid w:val="005810F1"/>
    <w:pPr>
      <w:spacing w:after="0"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6">
    <w:name w:val="WWNum6"/>
    <w:basedOn w:val="Bezseznamu"/>
    <w:rsid w:val="005810F1"/>
    <w:pPr>
      <w:numPr>
        <w:numId w:val="2"/>
      </w:numPr>
    </w:pPr>
  </w:style>
  <w:style w:type="character" w:styleId="Zdraznn">
    <w:name w:val="Emphasis"/>
    <w:aliases w:val="Normální a) b)"/>
    <w:uiPriority w:val="20"/>
    <w:qFormat/>
    <w:rsid w:val="00553A1B"/>
    <w:rPr>
      <w:rFonts w:ascii="Arial" w:hAnsi="Arial" w:cs="Arial"/>
      <w:sz w:val="20"/>
      <w:szCs w:val="20"/>
    </w:rPr>
  </w:style>
  <w:style w:type="paragraph" w:customStyle="1" w:styleId="Normlslovan">
    <w:name w:val="Normál číslovaný"/>
    <w:basedOn w:val="Normln"/>
    <w:autoRedefine/>
    <w:qFormat/>
    <w:rsid w:val="009A5593"/>
    <w:pPr>
      <w:numPr>
        <w:numId w:val="3"/>
      </w:numPr>
      <w:spacing w:line="312" w:lineRule="auto"/>
    </w:pPr>
  </w:style>
  <w:style w:type="paragraph" w:customStyle="1" w:styleId="Normla">
    <w:name w:val="Normál a)"/>
    <w:basedOn w:val="Normln"/>
    <w:autoRedefine/>
    <w:qFormat/>
    <w:rsid w:val="00553A1B"/>
    <w:pPr>
      <w:numPr>
        <w:ilvl w:val="1"/>
        <w:numId w:val="3"/>
      </w:numPr>
    </w:pPr>
  </w:style>
  <w:style w:type="character" w:styleId="Odkaznakoment">
    <w:name w:val="annotation reference"/>
    <w:basedOn w:val="Standardnpsmoodstavce"/>
    <w:unhideWhenUsed/>
    <w:rsid w:val="00553A1B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553A1B"/>
    <w:pPr>
      <w:spacing w:line="240" w:lineRule="auto"/>
    </w:pPr>
    <w:rPr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553A1B"/>
    <w:rPr>
      <w:rFonts w:ascii="Arial" w:hAnsi="Arial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3A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3A1B"/>
    <w:rPr>
      <w:rFonts w:ascii="Arial" w:hAnsi="Arial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3A1B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B14D29"/>
    <w:rPr>
      <w:i/>
      <w:iCs/>
    </w:rPr>
  </w:style>
  <w:style w:type="numbering" w:customStyle="1" w:styleId="Bezseznamu1">
    <w:name w:val="Bez seznamu1"/>
    <w:basedOn w:val="Bezseznamu"/>
    <w:rsid w:val="0089758E"/>
    <w:pPr>
      <w:numPr>
        <w:numId w:val="9"/>
      </w:numPr>
    </w:pPr>
  </w:style>
  <w:style w:type="character" w:styleId="Hypertextovodkaz">
    <w:name w:val="Hyperlink"/>
    <w:basedOn w:val="Standardnpsmoodstavce"/>
    <w:rsid w:val="00E1340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@cep-rra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Stepan</dc:creator>
  <cp:lastModifiedBy>Pavel Stepan</cp:lastModifiedBy>
  <cp:revision>2</cp:revision>
  <dcterms:created xsi:type="dcterms:W3CDTF">2019-05-20T06:35:00Z</dcterms:created>
  <dcterms:modified xsi:type="dcterms:W3CDTF">2019-05-20T06:35:00Z</dcterms:modified>
</cp:coreProperties>
</file>